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"/>
        <w:gridCol w:w="6428"/>
        <w:gridCol w:w="2047"/>
      </w:tblGrid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П/П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Наименование государственной услуги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48"/>
                <w:szCs w:val="48"/>
              </w:rPr>
              <w:t>Кабинет №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Прием документов на получение средств реабилитации, выдача направлений для получения технических и других средств реабилитации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32"/>
                <w:szCs w:val="32"/>
                <w:lang w:val="ru-RU"/>
              </w:rPr>
              <w:t>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ru-RU"/>
              </w:rPr>
              <w:t>21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Постановка на учет и выдача путевки в учреждения стационарного социального обслуживания-психоневрологические интернаты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21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Постановка на учет и выдача путевки в дома-интернаты для престарелых инвалидов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21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Выплата социального пособия и возмещение стоимости услуг на погребение отдельных категорий умерших граждан в размере 6964.38 рублей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Выплата единовременного пособия на погребение в размере  в размере 7457.44 рублей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Установление и выплата дополнительного ежемесячного материального обеспечения (социальной выплаты)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Установление ежемесячной социальной выплаты гражданам, работающим в особых условиях труда 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имеющим право на досрочное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назначение пенсии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оказание адресной материальной помощи гражданам, находящимся в трудной жизненной ситуации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17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Предоставление отдельным категориям граждан Республики Крым мер социальной поддержки по оплате жилого помещения и коммунальных услуг и взноса на капитальный ремонт общего имущества в многоквартирных домах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642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32"/>
                <w:szCs w:val="32"/>
              </w:rPr>
              <w:t>Назначение льготного проезда  (МФК)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04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6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Назначение единоразовой денежной помощи гражданам, которым исполняется 100 и более лет в размере 50000рублей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1 этаж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21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6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</w:rPr>
              <w:t>Назначение единовременной материальной помощи гражданину, покинувшему территорию Украины, ЛНР и ДНР Граждане, постоянно проживающие на территории Украины, вынужденно покинувшие территории Донецкой Народной Республики, и прибывшие на территорию РФ в экстренном массовом порядке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32"/>
                <w:szCs w:val="32"/>
              </w:rPr>
              <w:t xml:space="preserve">  в размере 10 000рублей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6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32"/>
                <w:szCs w:val="32"/>
              </w:rPr>
              <w:t xml:space="preserve">Назначение  материальной помощи на ремонт жилых помещений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32"/>
                <w:szCs w:val="32"/>
              </w:rPr>
              <w:t>ветеранам Великой Отечественной войны и членам их семей  в размере 200000рублей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60"/>
              <w:jc w:val="both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32"/>
                <w:szCs w:val="32"/>
              </w:rPr>
              <w:t xml:space="preserve">Назначение денежной компенсации затрат на приобретение школьной формы детям из многодетных семей </w:t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1этаж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17,21,22</w:t>
            </w:r>
          </w:p>
        </w:tc>
      </w:tr>
      <w:tr>
        <w:trPr/>
        <w:tc>
          <w:tcPr>
            <w:tcW w:w="8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642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i/>
          <w:i/>
          <w:iCs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 интересующим вопросам граждане могут  обращаться в департамент труда и социальной защиты населения администрации Нижнегорского  района Республики Крым по адресу:п. Нижнегорский, ул.Ленина,10, каб. 17, 21, 22. тел. 21662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213cc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d7185"/>
    <w:rPr>
      <w:rFonts w:ascii="Segoe UI" w:hAnsi="Segoe UI" w:cs="Segoe UI"/>
      <w:sz w:val="18"/>
      <w:szCs w:val="18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ed71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213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LibreOffice/7.0.4.2$Windows_X86_64 LibreOffice_project/dcf040e67528d9187c66b2379df5ea4407429775</Application>
  <AppVersion>15.0000</AppVersion>
  <Pages>2</Pages>
  <Words>296</Words>
  <Characters>1943</Characters>
  <CharactersWithSpaces>2224</CharactersWithSpaces>
  <Paragraphs>63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2017-09-05T05:26:00Z</dcterms:created>
  <dc:creator>Ленора Хайрединова</dc:creator>
  <dc:description/>
  <dc:language>ru-RU</dc:language>
  <cp:lastModifiedBy/>
  <cp:lastPrinted>2022-11-14T13:48:13Z</cp:lastPrinted>
  <dcterms:modified xsi:type="dcterms:W3CDTF">2022-11-14T13:48:02Z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